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5CE" w:rsidRDefault="003A23EA" w:rsidP="003A23EA">
      <w:pPr>
        <w:jc w:val="center"/>
        <w:rPr>
          <w:rFonts w:ascii="方正小标宋简体" w:eastAsia="方正小标宋简体" w:hAnsi="仿宋"/>
          <w:sz w:val="44"/>
          <w:szCs w:val="44"/>
        </w:rPr>
      </w:pPr>
      <w:r w:rsidRPr="003A23EA">
        <w:rPr>
          <w:rFonts w:ascii="方正小标宋简体" w:eastAsia="方正小标宋简体" w:hAnsi="仿宋" w:hint="eastAsia"/>
          <w:sz w:val="44"/>
          <w:szCs w:val="44"/>
        </w:rPr>
        <w:t>关于做好2025年度高级会计师资格</w:t>
      </w:r>
    </w:p>
    <w:p w:rsidR="000B417A" w:rsidRPr="003A23EA" w:rsidRDefault="003A23EA" w:rsidP="003A23EA">
      <w:pPr>
        <w:jc w:val="center"/>
        <w:rPr>
          <w:rFonts w:ascii="方正小标宋简体" w:eastAsia="方正小标宋简体" w:hAnsi="仿宋" w:hint="eastAsia"/>
          <w:sz w:val="44"/>
          <w:szCs w:val="44"/>
        </w:rPr>
      </w:pPr>
      <w:r w:rsidRPr="003A23EA">
        <w:rPr>
          <w:rFonts w:ascii="方正小标宋简体" w:eastAsia="方正小标宋简体" w:hAnsi="仿宋" w:hint="eastAsia"/>
          <w:sz w:val="44"/>
          <w:szCs w:val="44"/>
        </w:rPr>
        <w:t>评审申报工作的通知</w:t>
      </w:r>
    </w:p>
    <w:p w:rsidR="003A23EA" w:rsidRPr="003A23EA" w:rsidRDefault="003A23EA" w:rsidP="003A23EA">
      <w:pPr>
        <w:pStyle w:val="default-defaultmode"/>
        <w:shd w:val="clear" w:color="auto" w:fill="FFFFFF"/>
        <w:spacing w:before="0" w:beforeAutospacing="0" w:after="0" w:afterAutospacing="0"/>
        <w:jc w:val="both"/>
        <w:rPr>
          <w:rFonts w:ascii="仿宋" w:eastAsia="仿宋" w:hAnsi="仿宋"/>
          <w:color w:val="333333"/>
          <w:sz w:val="32"/>
          <w:szCs w:val="32"/>
        </w:rPr>
      </w:pPr>
      <w:r w:rsidRPr="003A23EA">
        <w:rPr>
          <w:rFonts w:ascii="仿宋" w:eastAsia="仿宋" w:hAnsi="仿宋" w:hint="eastAsia"/>
          <w:color w:val="333333"/>
          <w:sz w:val="32"/>
          <w:szCs w:val="32"/>
        </w:rPr>
        <w:t>各设区市及昆山市、泰兴市、沭阳县财政局，省各有关单位：</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根据《省人力资源社会保障厅关于做好2025年度职称评审工作的通知》（苏</w:t>
      </w:r>
      <w:proofErr w:type="gramStart"/>
      <w:r w:rsidRPr="003A23EA">
        <w:rPr>
          <w:rFonts w:ascii="仿宋" w:eastAsia="仿宋" w:hAnsi="仿宋" w:hint="eastAsia"/>
          <w:color w:val="333333"/>
          <w:sz w:val="32"/>
          <w:szCs w:val="32"/>
        </w:rPr>
        <w:t>人社职</w:t>
      </w:r>
      <w:proofErr w:type="gramEnd"/>
      <w:r w:rsidRPr="003A23EA">
        <w:rPr>
          <w:rFonts w:ascii="仿宋" w:eastAsia="仿宋" w:hAnsi="仿宋" w:hint="eastAsia"/>
          <w:color w:val="333333"/>
          <w:sz w:val="32"/>
          <w:szCs w:val="32"/>
        </w:rPr>
        <w:t>〔2025〕4号）要求，</w:t>
      </w:r>
      <w:proofErr w:type="gramStart"/>
      <w:r w:rsidRPr="003A23EA">
        <w:rPr>
          <w:rFonts w:ascii="仿宋" w:eastAsia="仿宋" w:hAnsi="仿宋" w:hint="eastAsia"/>
          <w:color w:val="333333"/>
          <w:sz w:val="32"/>
          <w:szCs w:val="32"/>
        </w:rPr>
        <w:t>经商省</w:t>
      </w:r>
      <w:proofErr w:type="gramEnd"/>
      <w:r w:rsidRPr="003A23EA">
        <w:rPr>
          <w:rFonts w:ascii="仿宋" w:eastAsia="仿宋" w:hAnsi="仿宋" w:hint="eastAsia"/>
          <w:color w:val="333333"/>
          <w:sz w:val="32"/>
          <w:szCs w:val="32"/>
        </w:rPr>
        <w:t>人力资源社会保障厅同意，现将我省2025年度高级会计师资格评审申报工作有关事项通知如下：</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一、申报政策</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（一）2025年度我省高级会计师资格评审按照《江苏省会计人员专业技术资格条件》（苏职称〔2021〕74号）执行。</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（二）申报人员按照《江苏省职称评审管理办法》（苏人社规〔2024〕3号）有关规定进行申报。中央驻</w:t>
      </w:r>
      <w:proofErr w:type="gramStart"/>
      <w:r w:rsidRPr="003A23EA">
        <w:rPr>
          <w:rFonts w:ascii="仿宋" w:eastAsia="仿宋" w:hAnsi="仿宋" w:hint="eastAsia"/>
          <w:color w:val="333333"/>
          <w:sz w:val="32"/>
          <w:szCs w:val="32"/>
        </w:rPr>
        <w:t>苏单位</w:t>
      </w:r>
      <w:proofErr w:type="gramEnd"/>
      <w:r w:rsidRPr="003A23EA">
        <w:rPr>
          <w:rFonts w:ascii="仿宋" w:eastAsia="仿宋" w:hAnsi="仿宋" w:hint="eastAsia"/>
          <w:color w:val="333333"/>
          <w:sz w:val="32"/>
          <w:szCs w:val="32"/>
        </w:rPr>
        <w:t>或外省驻</w:t>
      </w:r>
      <w:proofErr w:type="gramStart"/>
      <w:r w:rsidRPr="003A23EA">
        <w:rPr>
          <w:rFonts w:ascii="仿宋" w:eastAsia="仿宋" w:hAnsi="仿宋" w:hint="eastAsia"/>
          <w:color w:val="333333"/>
          <w:sz w:val="32"/>
          <w:szCs w:val="32"/>
        </w:rPr>
        <w:t>苏企业</w:t>
      </w:r>
      <w:proofErr w:type="gramEnd"/>
      <w:r w:rsidRPr="003A23EA">
        <w:rPr>
          <w:rFonts w:ascii="仿宋" w:eastAsia="仿宋" w:hAnsi="仿宋" w:hint="eastAsia"/>
          <w:color w:val="333333"/>
          <w:sz w:val="32"/>
          <w:szCs w:val="32"/>
        </w:rPr>
        <w:t>及其分支机构和军队的会计人员，如需在我省申报评审，须经具有人事管理权限的主管部门提交委托函，由省人力资源社会保障厅核准同意后受理申报。</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（三）南京市高级会计师资格评审工作由南京市会计专业高级职称评审委员会负责，江苏省会计专业高级职称评审委员会不受理南京市所辖单位人员的申报评审。</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（四）申报职称的资历（任职年限）和取得考试合格证截止时间为2024年12月31日。申报职称的业绩成果、论文、学历（学位）等截止时间为2025年3月31日。</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lastRenderedPageBreak/>
        <w:t>（五）申报人员继续教育条件按照《江苏省专业技术人员继续教育条例》和《江苏省会计专业技术人员继续教育实施办法》（苏财</w:t>
      </w:r>
      <w:proofErr w:type="gramStart"/>
      <w:r w:rsidRPr="003A23EA">
        <w:rPr>
          <w:rFonts w:ascii="仿宋" w:eastAsia="仿宋" w:hAnsi="仿宋" w:hint="eastAsia"/>
          <w:color w:val="333333"/>
          <w:sz w:val="32"/>
          <w:szCs w:val="32"/>
        </w:rPr>
        <w:t>规</w:t>
      </w:r>
      <w:proofErr w:type="gramEnd"/>
      <w:r w:rsidRPr="003A23EA">
        <w:rPr>
          <w:rFonts w:ascii="仿宋" w:eastAsia="仿宋" w:hAnsi="仿宋" w:hint="eastAsia"/>
          <w:color w:val="333333"/>
          <w:sz w:val="32"/>
          <w:szCs w:val="32"/>
        </w:rPr>
        <w:t>〔2018〕22号）执行，继续教育情况列为专业技术人才职称晋升的重要条件。</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（六）依据苏</w:t>
      </w:r>
      <w:proofErr w:type="gramStart"/>
      <w:r w:rsidRPr="003A23EA">
        <w:rPr>
          <w:rFonts w:ascii="仿宋" w:eastAsia="仿宋" w:hAnsi="仿宋" w:hint="eastAsia"/>
          <w:color w:val="333333"/>
          <w:sz w:val="32"/>
          <w:szCs w:val="32"/>
        </w:rPr>
        <w:t>价费函〔2002〕</w:t>
      </w:r>
      <w:proofErr w:type="gramEnd"/>
      <w:r w:rsidRPr="003A23EA">
        <w:rPr>
          <w:rFonts w:ascii="仿宋" w:eastAsia="仿宋" w:hAnsi="仿宋" w:hint="eastAsia"/>
          <w:color w:val="333333"/>
          <w:sz w:val="32"/>
          <w:szCs w:val="32"/>
        </w:rPr>
        <w:t>62号规定，我省高级会计师资格评审收费标准为300元/人。</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（七）申报人员通过提供虚假证明材料或者通过其他不正当手段取得职称的，经调查核实确认的，将撤销其职称，并按有关规定对相关人员进行处理。</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二、申报时间及流程</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（一）申报时间</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2025年度我省高级会计师资格评审采取网上申报形式。申报的起止时间为：2025年5月30日9:00至6月30日17:00，逾期不补报。</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（二）申报流程</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1. 网上申报。</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（1）登录江苏省财政厅网站（http://czt.jiangsu.gov.cn）“会计综合管理平台”栏目，从“服务入口”选择“高级职称评审”，进入后阅读操作手册及常见问题解答。</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（2）登录系统后，按要求如实填写各项信息，并将相关申报材料原件扫描上传。</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2.</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审核。省属单位申报人员为线上审核，申报人员网上提交材料2个工作日后上网查看审核结果，审核通过后方可网上缴费。各地申报人员根据所在地财政局要求，办理审核事宜。</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3. 网上缴费。申报人员通过审核后，登录申报系统进行缴费。缴费成功后，不办理退费。需要票据凭证的，可根据系统提示自行下载打印电子票据。</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缴费起止时间为：2025年6月2日9:00至7月3日24:00，逾期未缴费的，视同放弃申报。</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三、其他注意事项</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一）请各地、各单位按照《江苏省会计人员专业技术资格条件》（苏职称〔2021〕74号）和申报材料目录及要求（详见附件1），对申报材料严格把关，认真做好审核、公示和推荐工作，确保材料真实、齐全、手续完备。</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二）各设区市（不含南京市）及昆山市、泰兴市、沭阳县财政局于7月11日前，将经当地职称管理部门审核后的《江苏省会计专业技术职务（高级会计师）任职资格评审情况一览表》（详见附件3）报送省财政厅会计处。</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（三）因评审工作全部在网上进行，申报人员不再提交纸质材料。所需填报的表格，请登录江苏省财政厅网站（http:// czt.jiangsu.gov.cn）“会计综合管理平台”栏目，进入“下载专区”下载。</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（四）省财政厅会同省人力资源社会保障厅联合发文公布评审结果后，评审通过人员自主</w:t>
      </w:r>
      <w:proofErr w:type="gramStart"/>
      <w:r w:rsidRPr="003A23EA">
        <w:rPr>
          <w:rFonts w:ascii="仿宋" w:eastAsia="仿宋" w:hAnsi="仿宋" w:hint="eastAsia"/>
          <w:color w:val="333333"/>
          <w:sz w:val="32"/>
          <w:szCs w:val="32"/>
        </w:rPr>
        <w:t>打印省</w:t>
      </w:r>
      <w:proofErr w:type="gramEnd"/>
      <w:r w:rsidRPr="003A23EA">
        <w:rPr>
          <w:rFonts w:ascii="仿宋" w:eastAsia="仿宋" w:hAnsi="仿宋" w:hint="eastAsia"/>
          <w:color w:val="333333"/>
          <w:sz w:val="32"/>
          <w:szCs w:val="32"/>
        </w:rPr>
        <w:t>人力资源社会保障厅、省财政厅统一编号和用印的电子职称证书。评审通过人员经评委</w:t>
      </w:r>
      <w:proofErr w:type="gramStart"/>
      <w:r w:rsidRPr="003A23EA">
        <w:rPr>
          <w:rFonts w:ascii="仿宋" w:eastAsia="仿宋" w:hAnsi="仿宋" w:hint="eastAsia"/>
          <w:color w:val="333333"/>
          <w:sz w:val="32"/>
          <w:szCs w:val="32"/>
        </w:rPr>
        <w:t>会签章</w:t>
      </w:r>
      <w:proofErr w:type="gramEnd"/>
      <w:r w:rsidRPr="003A23EA">
        <w:rPr>
          <w:rFonts w:ascii="仿宋" w:eastAsia="仿宋" w:hAnsi="仿宋" w:hint="eastAsia"/>
          <w:color w:val="333333"/>
          <w:sz w:val="32"/>
          <w:szCs w:val="32"/>
        </w:rPr>
        <w:t>后的《专业技术资格评审申报表》末页（申报表一式3份，将签章后的末页粘贴在申报表末页空白处，连同申报表归入本人档案）等相关材料，将统一采取邮寄到付的方式，通过中国邮政速递物流送达。</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（五）政策咨询电话</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省级：025-83633209、025-83633202；</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无锡市：0510-81822359；徐州市：0516-83752874；</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常州市：0519-85681867；南通市：0513-85594128；</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苏州市：0512-68616751、0512-68616703；</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连云港市：0518-85521543；淮安市：0517-83168195；</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盐城市：0515-80501348；扬州市：0514-87865869；</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镇江市：0511-80909928；泰州市：0523-86888085；</w:t>
      </w:r>
    </w:p>
    <w:p w:rsidR="003A23EA" w:rsidRPr="003A23EA" w:rsidRDefault="003A23EA" w:rsidP="003A23EA">
      <w:pPr>
        <w:pStyle w:val="default-defaultmode"/>
        <w:shd w:val="clear" w:color="auto" w:fill="FFFFFF"/>
        <w:spacing w:before="0" w:beforeAutospacing="0" w:after="0" w:afterAutospacing="0" w:line="600" w:lineRule="atLeast"/>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宿迁市：0527-84363054；昆山市：0512-57314171；</w:t>
      </w:r>
    </w:p>
    <w:p w:rsidR="003A23EA" w:rsidRPr="003A23EA" w:rsidRDefault="003A23EA" w:rsidP="003A23EA">
      <w:pPr>
        <w:pStyle w:val="default-defaultmode"/>
        <w:shd w:val="clear" w:color="auto" w:fill="FFFFFF"/>
        <w:spacing w:before="0" w:beforeAutospacing="0" w:after="0" w:afterAutospacing="0"/>
        <w:ind w:firstLine="645"/>
        <w:jc w:val="both"/>
        <w:rPr>
          <w:rFonts w:ascii="仿宋" w:eastAsia="仿宋" w:hAnsi="仿宋" w:hint="eastAsia"/>
          <w:color w:val="333333"/>
          <w:sz w:val="32"/>
          <w:szCs w:val="32"/>
        </w:rPr>
      </w:pPr>
      <w:r w:rsidRPr="003A23EA">
        <w:rPr>
          <w:rFonts w:ascii="仿宋" w:eastAsia="仿宋" w:hAnsi="仿宋" w:hint="eastAsia"/>
          <w:color w:val="333333"/>
          <w:sz w:val="32"/>
          <w:szCs w:val="32"/>
        </w:rPr>
        <w:t>泰兴市：0523-87633552；沭阳县：0527-83551380。</w:t>
      </w:r>
    </w:p>
    <w:p w:rsidR="003A23EA" w:rsidRPr="003A23EA" w:rsidRDefault="003A23EA" w:rsidP="003A23EA">
      <w:pPr>
        <w:pStyle w:val="default-defaultmode"/>
        <w:shd w:val="clear" w:color="auto" w:fill="FFFFFF"/>
        <w:spacing w:before="0" w:beforeAutospacing="0" w:after="0" w:afterAutospacing="0"/>
        <w:ind w:firstLine="645"/>
        <w:jc w:val="both"/>
        <w:rPr>
          <w:rFonts w:ascii="仿宋" w:eastAsia="仿宋" w:hAnsi="仿宋" w:hint="eastAsia"/>
          <w:color w:val="333333"/>
          <w:sz w:val="32"/>
          <w:szCs w:val="32"/>
        </w:rPr>
      </w:pPr>
    </w:p>
    <w:p w:rsidR="003A23EA" w:rsidRPr="003A23EA" w:rsidRDefault="003A23EA" w:rsidP="003A23EA">
      <w:pPr>
        <w:pStyle w:val="default-defaultmode"/>
        <w:shd w:val="clear" w:color="auto" w:fill="FFFFFF"/>
        <w:spacing w:before="0" w:beforeAutospacing="0" w:after="0" w:afterAutospacing="0"/>
        <w:ind w:firstLine="645"/>
        <w:jc w:val="both"/>
        <w:rPr>
          <w:rFonts w:ascii="仿宋" w:eastAsia="仿宋" w:hAnsi="仿宋" w:hint="eastAsia"/>
          <w:color w:val="333333"/>
          <w:sz w:val="32"/>
          <w:szCs w:val="32"/>
        </w:rPr>
      </w:pPr>
      <w:r w:rsidRPr="003A23EA">
        <w:rPr>
          <w:rStyle w:val="default-defaultmode1"/>
          <w:rFonts w:ascii="仿宋" w:eastAsia="仿宋" w:hAnsi="仿宋" w:cs="Arial"/>
          <w:color w:val="333333"/>
          <w:sz w:val="32"/>
          <w:szCs w:val="32"/>
        </w:rPr>
        <w:t>附件：1.</w:t>
      </w:r>
      <w:hyperlink r:id="rId4" w:history="1">
        <w:r w:rsidRPr="003A23EA">
          <w:rPr>
            <w:rStyle w:val="a3"/>
            <w:rFonts w:ascii="仿宋" w:eastAsia="仿宋" w:hAnsi="仿宋" w:hint="eastAsia"/>
            <w:color w:val="333333"/>
            <w:sz w:val="32"/>
            <w:szCs w:val="32"/>
            <w:u w:val="none"/>
          </w:rPr>
          <w:t>申报材料目录及要求.</w:t>
        </w:r>
        <w:proofErr w:type="gramStart"/>
        <w:r w:rsidRPr="003A23EA">
          <w:rPr>
            <w:rStyle w:val="a3"/>
            <w:rFonts w:ascii="仿宋" w:eastAsia="仿宋" w:hAnsi="仿宋" w:hint="eastAsia"/>
            <w:color w:val="333333"/>
            <w:sz w:val="32"/>
            <w:szCs w:val="32"/>
            <w:u w:val="none"/>
          </w:rPr>
          <w:t>doc</w:t>
        </w:r>
        <w:proofErr w:type="gramEnd"/>
      </w:hyperlink>
    </w:p>
    <w:p w:rsidR="003A23EA" w:rsidRPr="003A23EA" w:rsidRDefault="003A23EA" w:rsidP="003A23EA">
      <w:pPr>
        <w:pStyle w:val="default-defaultmode"/>
        <w:shd w:val="clear" w:color="auto" w:fill="FFFFFF"/>
        <w:spacing w:before="0" w:beforeAutospacing="0" w:after="0" w:afterAutospacing="0"/>
        <w:ind w:firstLine="645"/>
        <w:jc w:val="both"/>
        <w:rPr>
          <w:rFonts w:ascii="仿宋" w:eastAsia="仿宋" w:hAnsi="仿宋" w:hint="eastAsia"/>
          <w:color w:val="333333"/>
          <w:sz w:val="32"/>
          <w:szCs w:val="32"/>
        </w:rPr>
      </w:pP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w:t>
      </w: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w:t>
      </w: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w:t>
      </w: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2.</w:t>
      </w:r>
      <w:hyperlink r:id="rId5" w:history="1">
        <w:r w:rsidRPr="003A23EA">
          <w:rPr>
            <w:rStyle w:val="a3"/>
            <w:rFonts w:ascii="仿宋" w:eastAsia="仿宋" w:hAnsi="仿宋" w:hint="eastAsia"/>
            <w:color w:val="333333"/>
            <w:sz w:val="32"/>
            <w:szCs w:val="32"/>
            <w:u w:val="none"/>
          </w:rPr>
          <w:t>江苏省申报高级会计师任职资格人员情况简介表.</w:t>
        </w:r>
        <w:proofErr w:type="gramStart"/>
        <w:r w:rsidRPr="003A23EA">
          <w:rPr>
            <w:rStyle w:val="a3"/>
            <w:rFonts w:ascii="仿宋" w:eastAsia="仿宋" w:hAnsi="仿宋" w:hint="eastAsia"/>
            <w:color w:val="333333"/>
            <w:sz w:val="32"/>
            <w:szCs w:val="32"/>
            <w:u w:val="none"/>
          </w:rPr>
          <w:t>doc</w:t>
        </w:r>
        <w:proofErr w:type="gramEnd"/>
      </w:hyperlink>
    </w:p>
    <w:p w:rsidR="003A23EA" w:rsidRPr="003A23EA" w:rsidRDefault="003A23EA" w:rsidP="003A23EA">
      <w:pPr>
        <w:pStyle w:val="default-defaultmode"/>
        <w:shd w:val="clear" w:color="auto" w:fill="FFFFFF"/>
        <w:spacing w:before="0" w:beforeAutospacing="0" w:after="0" w:afterAutospacing="0"/>
        <w:ind w:firstLine="645"/>
        <w:jc w:val="both"/>
        <w:rPr>
          <w:rFonts w:ascii="仿宋" w:eastAsia="仿宋" w:hAnsi="仿宋" w:hint="eastAsia"/>
          <w:color w:val="333333"/>
          <w:sz w:val="32"/>
          <w:szCs w:val="32"/>
        </w:rPr>
      </w:pP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w:t>
      </w: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w:t>
      </w: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w:t>
      </w:r>
      <w:r w:rsidRPr="003A23EA">
        <w:rPr>
          <w:rStyle w:val="default-defaultmode1"/>
          <w:rFonts w:ascii="Calibri" w:eastAsia="仿宋" w:hAnsi="Calibri" w:cs="Calibri"/>
          <w:color w:val="333333"/>
          <w:sz w:val="32"/>
          <w:szCs w:val="32"/>
        </w:rPr>
        <w:t> </w:t>
      </w:r>
      <w:r w:rsidRPr="003A23EA">
        <w:rPr>
          <w:rStyle w:val="default-defaultmode1"/>
          <w:rFonts w:ascii="仿宋" w:eastAsia="仿宋" w:hAnsi="仿宋" w:cs="Arial"/>
          <w:color w:val="333333"/>
          <w:sz w:val="32"/>
          <w:szCs w:val="32"/>
        </w:rPr>
        <w:t xml:space="preserve"> 3.</w:t>
      </w:r>
      <w:hyperlink r:id="rId6" w:history="1">
        <w:r w:rsidRPr="003A23EA">
          <w:rPr>
            <w:rStyle w:val="a3"/>
            <w:rFonts w:ascii="仿宋" w:eastAsia="仿宋" w:hAnsi="仿宋" w:hint="eastAsia"/>
            <w:color w:val="333333"/>
            <w:sz w:val="32"/>
            <w:szCs w:val="32"/>
            <w:u w:val="none"/>
          </w:rPr>
          <w:t>江苏省会计专业技术职务（高级会计师）任职资格评审情况一览表.</w:t>
        </w:r>
        <w:proofErr w:type="gramStart"/>
        <w:r w:rsidRPr="003A23EA">
          <w:rPr>
            <w:rStyle w:val="a3"/>
            <w:rFonts w:ascii="仿宋" w:eastAsia="仿宋" w:hAnsi="仿宋" w:hint="eastAsia"/>
            <w:color w:val="333333"/>
            <w:sz w:val="32"/>
            <w:szCs w:val="32"/>
            <w:u w:val="none"/>
          </w:rPr>
          <w:t>xls</w:t>
        </w:r>
        <w:proofErr w:type="gramEnd"/>
      </w:hyperlink>
    </w:p>
    <w:p w:rsidR="003A23EA" w:rsidRPr="003A23EA" w:rsidRDefault="003A23EA" w:rsidP="003A23EA">
      <w:pPr>
        <w:pStyle w:val="default-defaultmode"/>
        <w:shd w:val="clear" w:color="auto" w:fill="FFFFFF"/>
        <w:spacing w:before="0" w:beforeAutospacing="0" w:after="0" w:afterAutospacing="0"/>
        <w:ind w:left="1560"/>
        <w:jc w:val="both"/>
        <w:rPr>
          <w:rFonts w:ascii="仿宋" w:eastAsia="仿宋" w:hAnsi="仿宋" w:hint="eastAsia"/>
          <w:color w:val="333333"/>
          <w:sz w:val="32"/>
          <w:szCs w:val="32"/>
        </w:rPr>
      </w:pP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p>
    <w:p w:rsidR="003A23EA" w:rsidRPr="003A23EA" w:rsidRDefault="003A23EA" w:rsidP="003A23EA">
      <w:pPr>
        <w:pStyle w:val="default-defaultmode"/>
        <w:shd w:val="clear" w:color="auto" w:fill="FFFFFF"/>
        <w:spacing w:before="0" w:beforeAutospacing="0" w:after="0" w:afterAutospacing="0"/>
        <w:ind w:left="1560"/>
        <w:jc w:val="both"/>
        <w:rPr>
          <w:rFonts w:ascii="仿宋" w:eastAsia="仿宋" w:hAnsi="仿宋" w:hint="eastAsia"/>
          <w:color w:val="333333"/>
          <w:sz w:val="32"/>
          <w:szCs w:val="32"/>
        </w:rPr>
      </w:pP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004130FA">
        <w:rPr>
          <w:rFonts w:ascii="仿宋" w:eastAsia="仿宋" w:hAnsi="仿宋"/>
          <w:color w:val="333333"/>
          <w:sz w:val="32"/>
          <w:szCs w:val="32"/>
        </w:rPr>
        <w:t xml:space="preserve">   </w:t>
      </w:r>
      <w:r w:rsidRPr="003A23EA">
        <w:rPr>
          <w:rFonts w:ascii="仿宋" w:eastAsia="仿宋" w:hAnsi="仿宋" w:hint="eastAsia"/>
          <w:color w:val="333333"/>
          <w:sz w:val="32"/>
          <w:szCs w:val="32"/>
        </w:rPr>
        <w:t>江苏省财政厅</w:t>
      </w:r>
    </w:p>
    <w:p w:rsidR="003A23EA" w:rsidRPr="003A23EA" w:rsidRDefault="003A23EA" w:rsidP="003A23EA">
      <w:pPr>
        <w:pStyle w:val="default-defaultmode"/>
        <w:shd w:val="clear" w:color="auto" w:fill="FFFFFF"/>
        <w:spacing w:before="0" w:beforeAutospacing="0" w:after="0" w:afterAutospacing="0"/>
        <w:ind w:left="1560"/>
        <w:jc w:val="both"/>
        <w:rPr>
          <w:rFonts w:ascii="仿宋" w:eastAsia="仿宋" w:hAnsi="仿宋" w:hint="eastAsia"/>
          <w:color w:val="333333"/>
          <w:sz w:val="32"/>
          <w:szCs w:val="32"/>
        </w:rPr>
      </w:pP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bookmarkStart w:id="0" w:name="_GoBack"/>
      <w:bookmarkEnd w:id="0"/>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Pr="003A23EA">
        <w:rPr>
          <w:rFonts w:ascii="Calibri" w:eastAsia="仿宋" w:hAnsi="Calibri" w:cs="Calibri"/>
          <w:color w:val="333333"/>
          <w:sz w:val="32"/>
          <w:szCs w:val="32"/>
        </w:rPr>
        <w:t> </w:t>
      </w:r>
      <w:r w:rsidRPr="003A23EA">
        <w:rPr>
          <w:rFonts w:ascii="仿宋" w:eastAsia="仿宋" w:hAnsi="仿宋" w:hint="eastAsia"/>
          <w:color w:val="333333"/>
          <w:sz w:val="32"/>
          <w:szCs w:val="32"/>
        </w:rPr>
        <w:t xml:space="preserve"> </w:t>
      </w:r>
      <w:r w:rsidR="004130FA">
        <w:rPr>
          <w:rFonts w:ascii="仿宋" w:eastAsia="仿宋" w:hAnsi="仿宋"/>
          <w:color w:val="333333"/>
          <w:sz w:val="32"/>
          <w:szCs w:val="32"/>
        </w:rPr>
        <w:t xml:space="preserve">   </w:t>
      </w:r>
      <w:r w:rsidRPr="003A23EA">
        <w:rPr>
          <w:rFonts w:ascii="仿宋" w:eastAsia="仿宋" w:hAnsi="仿宋" w:hint="eastAsia"/>
          <w:color w:val="333333"/>
          <w:sz w:val="32"/>
          <w:szCs w:val="32"/>
        </w:rPr>
        <w:t>2025年5月21日</w:t>
      </w:r>
    </w:p>
    <w:p w:rsidR="003A23EA" w:rsidRPr="003A23EA" w:rsidRDefault="003A23EA">
      <w:pPr>
        <w:rPr>
          <w:rFonts w:ascii="仿宋" w:hAnsi="仿宋" w:hint="eastAsia"/>
          <w:szCs w:val="32"/>
        </w:rPr>
      </w:pPr>
    </w:p>
    <w:sectPr w:rsidR="003A23EA" w:rsidRPr="003A23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3EA"/>
    <w:rsid w:val="000B417A"/>
    <w:rsid w:val="003A23EA"/>
    <w:rsid w:val="004130FA"/>
    <w:rsid w:val="00A71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8C4816-619B-428A-8049-538DB33D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仿宋" w:hAnsi="Calibri" w:cs="Times New Roman"/>
        <w:kern w:val="2"/>
        <w:sz w:val="32"/>
        <w:szCs w:val="22"/>
        <w:lang w:val="en-US" w:eastAsia="zh-CN" w:bidi="ar-SA"/>
      </w:rPr>
    </w:rPrDefault>
    <w:pPrDefault>
      <w:pPr>
        <w:spacing w:line="57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defaultmode">
    <w:name w:val="default-defaultmode"/>
    <w:basedOn w:val="a"/>
    <w:rsid w:val="003A23EA"/>
    <w:pPr>
      <w:spacing w:before="100" w:beforeAutospacing="1" w:after="100" w:afterAutospacing="1" w:line="240" w:lineRule="auto"/>
      <w:jc w:val="left"/>
    </w:pPr>
    <w:rPr>
      <w:rFonts w:ascii="宋体" w:eastAsia="宋体" w:hAnsi="宋体" w:cs="宋体"/>
      <w:kern w:val="0"/>
      <w:sz w:val="24"/>
      <w:szCs w:val="24"/>
    </w:rPr>
  </w:style>
  <w:style w:type="character" w:customStyle="1" w:styleId="default-defaultmode1">
    <w:name w:val="default-defaultmode1"/>
    <w:basedOn w:val="a0"/>
    <w:rsid w:val="003A23EA"/>
  </w:style>
  <w:style w:type="character" w:styleId="a3">
    <w:name w:val="Hyperlink"/>
    <w:basedOn w:val="a0"/>
    <w:uiPriority w:val="99"/>
    <w:semiHidden/>
    <w:unhideWhenUsed/>
    <w:rsid w:val="003A23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28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zt.jiangsu.gov.cn/module/download/downfile.jsp?classid=0&amp;filename=7257d93a62b24f659bea39aeebd80d80.xls" TargetMode="External"/><Relationship Id="rId5" Type="http://schemas.openxmlformats.org/officeDocument/2006/relationships/hyperlink" Target="http://czt.jiangsu.gov.cn/module/download/downfile.jsp?classid=0&amp;filename=35b76b1349ef490bbdee22dee52a4a40.doc" TargetMode="External"/><Relationship Id="rId4" Type="http://schemas.openxmlformats.org/officeDocument/2006/relationships/hyperlink" Target="http://czt.jiangsu.gov.cn/module/download/downfile.jsp?classid=0&amp;filename=f97b25cf1a1343f6b69d71eab23a8adb.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394</Words>
  <Characters>2248</Characters>
  <Application>Microsoft Office Word</Application>
  <DocSecurity>0</DocSecurity>
  <Lines>18</Lines>
  <Paragraphs>5</Paragraphs>
  <ScaleCrop>false</ScaleCrop>
  <Company>P R C</Company>
  <LinksUpToDate>false</LinksUpToDate>
  <CharactersWithSpaces>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2025-05-22T01:18:00Z</dcterms:created>
  <dcterms:modified xsi:type="dcterms:W3CDTF">2025-05-22T01:25:00Z</dcterms:modified>
</cp:coreProperties>
</file>